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40"/>
      </w:pPr>
      <w:r>
        <w:rPr>
          <w:rFonts w:ascii="Arial" w:cs="Arial" w:eastAsia="Arial" w:hAnsi="Arial"/>
          <w:sz w:val="22"/>
          <w:szCs w:val="22"/>
        </w:rPr>
        <w:t xml:space="preserve"/>
      </w:r>
    </w:p>
    <w:p>
      <w:pPr>
        <w:spacing w:after="80"/>
        <w:jc w:val="center"/>
      </w:pPr>
      <w:r>
        <w:rPr>
          <w:rFonts w:ascii="Arial" w:cs="Arial" w:eastAsia="Arial" w:hAnsi="Arial"/>
          <w:b/>
          <w:bCs/>
          <w:color w:val="0B1C2D"/>
          <w:sz w:val="80"/>
          <w:szCs w:val="80"/>
        </w:rPr>
        <w:t xml:space="preserve">MEDICAL AI</w:t>
      </w:r>
    </w:p>
    <w:p>
      <w:pPr>
        <w:spacing w:after="80"/>
        <w:jc w:val="center"/>
      </w:pPr>
      <w:r>
        <w:rPr>
          <w:rFonts w:ascii="Arial" w:cs="Arial" w:eastAsia="Arial" w:hAnsi="Arial"/>
          <w:color w:val="C9A24D"/>
          <w:sz w:val="44"/>
          <w:szCs w:val="44"/>
        </w:rPr>
        <w:t xml:space="preserve">US–China Healthcare Bridge</w:t>
      </w:r>
    </w:p>
    <w:p>
      <w:pPr>
        <w:spacing w:after="480"/>
        <w:jc w:val="center"/>
      </w:pPr>
      <w:r>
        <w:rPr>
          <w:rFonts w:ascii="Arial" w:cs="Arial" w:eastAsia="Arial" w:hAnsi="Arial"/>
          <w:color w:val="444444"/>
          <w:sz w:val="22"/>
          <w:szCs w:val="22"/>
        </w:rPr>
        <w:t xml:space="preserve">Clinical Intelligence Engine  ·  Immutable Ledger  ·  TCM + Western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24D" w:sz="8"/>
              <w:left w:val="single" w:color="C9A24D" w:sz="8"/>
              <w:bottom w:val="single" w:color="C9A24D" w:sz="8"/>
              <w:right w:val="single" w:color="C9A24D" w:sz="8"/>
            </w:tcBorders>
            <w:shd w:fill="FDF8EC" w:val="clear"/>
            <w:tcMar>
              <w:top w:type="dxa" w:w="220"/>
              <w:left w:type="dxa" w:w="320"/>
              <w:bottom w:type="dxa" w:w="220"/>
              <w:right w:type="dxa" w:w="320"/>
            </w:tcMar>
          </w:tcPr>
          <w:p>
            <w:pPr>
              <w:spacing w:after="120"/>
              <w:jc w:val="center"/>
            </w:pPr>
            <w:r>
              <w:rPr>
                <w:rFonts w:ascii="Arial" w:cs="Arial" w:eastAsia="Arial" w:hAnsi="Arial"/>
                <w:b/>
                <w:bCs/>
                <w:color w:val="8B1A1A"/>
                <w:sz w:val="22"/>
                <w:szCs w:val="22"/>
              </w:rPr>
              <w:t xml:space="preserve">CONFIDENTIAL — NDA REQUIRED FOR ACCESS</w:t>
            </w:r>
          </w:p>
          <w:p>
            <w:pPr>
              <w:spacing w:after="80"/>
              <w:jc w:val="center"/>
            </w:pPr>
            <w:r>
              <w:rPr>
                <w:rFonts w:ascii="Arial" w:cs="Arial" w:eastAsia="Arial" w:hAnsi="Arial"/>
                <w:color w:val="444444"/>
                <w:sz w:val="22"/>
                <w:szCs w:val="22"/>
              </w:rPr>
              <w:t xml:space="preserve">Proprietary enterprise architecture. Protected Health Information compliance.</w:t>
            </w:r>
          </w:p>
          <w:p>
            <w:pPr>
              <w:spacing w:after="0"/>
              <w:jc w:val="center"/>
            </w:pPr>
            <w:r>
              <w:rPr>
                <w:rFonts w:ascii="Arial" w:cs="Arial" w:eastAsia="Arial" w:hAnsi="Arial"/>
                <w:color w:val="444444"/>
                <w:sz w:val="22"/>
                <w:szCs w:val="22"/>
              </w:rPr>
              <w:t xml:space="preserve">Distribution restricted. Contact through uschina.us portal.</w:t>
            </w:r>
          </w:p>
        </w:tc>
      </w:tr>
    </w:tbl>
    <w:p>
      <w:pPr>
        <w:spacing w:after="540"/>
      </w:pPr>
      <w:r>
        <w:rPr>
          <w:rFonts w:ascii="Arial" w:cs="Arial" w:eastAsia="Arial" w:hAnsi="Arial"/>
          <w:sz w:val="22"/>
          <w:szCs w:val="22"/>
        </w:rPr>
        <w:t xml:space="preserve"/>
      </w:r>
    </w:p>
    <w:p>
      <w:pPr>
        <w:spacing w:after="80"/>
        <w:jc w:val="center"/>
      </w:pPr>
      <w:r>
        <w:rPr>
          <w:rFonts w:ascii="Arial" w:cs="Arial" w:eastAsia="Arial" w:hAnsi="Arial"/>
          <w:b/>
          <w:bCs/>
          <w:color w:val="0B1C2D"/>
          <w:sz w:val="32"/>
          <w:szCs w:val="32"/>
        </w:rPr>
        <w:t xml:space="preserve">James Rogers</w:t>
      </w:r>
    </w:p>
    <w:p>
      <w:pPr>
        <w:spacing w:after="80"/>
        <w:jc w:val="center"/>
      </w:pPr>
      <w:r>
        <w:rPr>
          <w:rFonts w:ascii="Arial" w:cs="Arial" w:eastAsia="Arial" w:hAnsi="Arial"/>
          <w:color w:val="444444"/>
          <w:sz w:val="22"/>
          <w:szCs w:val="22"/>
        </w:rPr>
        <w:t xml:space="preserve">Enterprise Architect  ·  TOGAF Portfolio  ·  Rogers Strategy &amp; IT Consulting</w:t>
      </w:r>
    </w:p>
    <w:p>
      <w:pPr>
        <w:spacing w:after="0"/>
        <w:jc w:val="center"/>
      </w:pPr>
      <w:r>
        <w:rPr>
          <w:rFonts w:ascii="Arial" w:cs="Arial" w:eastAsia="Arial" w:hAnsi="Arial"/>
          <w:color w:val="C9A24D"/>
          <w:sz w:val="22"/>
          <w:szCs w:val="22"/>
        </w:rPr>
        <w:t xml:space="preserve">uschina.us  ·  Version 1.0  ·  2025</w:t>
      </w:r>
    </w:p>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1.  Bottom Line Up Front</w:t>
      </w:r>
    </w:p>
    <w:p>
      <w:pPr>
        <w:spacing w:after="200"/>
      </w:pPr>
      <w:r>
        <w:rPr>
          <w:rFonts w:ascii="Arial" w:cs="Arial" w:eastAsia="Arial" w:hAnsi="Arial"/>
          <w:sz w:val="22"/>
          <w:szCs w:val="22"/>
        </w:rPr>
        <w:t xml:space="preserve">High-income Chinese patients and expatriates seeking care at elite Western institutions face a single, concrete barrier: their medical records are rejected. Top-tier specialists at Johns Hopkins, Mayo Clinic, MD Anderson, and equivalent institutions will not review raw, translated PDFs. The patient has the money. The specialist has the capacity. The data wall makes the transaction impossible.</w:t>
      </w:r>
    </w:p>
    <w:p>
      <w:pPr>
        <w:spacing w:after="200"/>
      </w:pPr>
      <w:r>
        <w:rPr>
          <w:rFonts w:ascii="Arial" w:cs="Arial" w:eastAsia="Arial" w:hAnsi="Arial"/>
          <w:sz w:val="22"/>
          <w:szCs w:val="22"/>
        </w:rPr>
        <w:t xml:space="preserve">This platform removes the wall. It ingests Chinese-language medical records from any source, extracts structured clinical markers, synthesizes a verified longitudinal narrative in the exact format Western specialists require, and writes every processing event to a cryptographic immutable ledger. The specialist receives a document they can act on immediately. The patient gets the consultation.</w:t>
      </w:r>
    </w:p>
    <w:p>
      <w:pPr>
        <w:spacing w:after="200"/>
      </w:pPr>
      <w:r>
        <w:rPr>
          <w:rFonts w:ascii="Arial" w:cs="Arial" w:eastAsia="Arial" w:hAnsi="Arial"/>
          <w:sz w:val="22"/>
          <w:szCs w:val="22"/>
        </w:rPr>
        <w:t xml:space="preserve">The platform is the technical implementation of a broader strategic vision: a complementary combination of Eastern and Western medicine that promotes long-term health, longevity, and preventative care — not just disease treatment. It begins with the Chinese cross-border market and scales to every high-friction medical environment on earth.</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24D" w:sz="8"/>
              <w:left w:val="single" w:color="C9A24D" w:sz="8"/>
              <w:bottom w:val="single" w:color="C9A24D" w:sz="8"/>
              <w:right w:val="single" w:color="C9A24D" w:sz="8"/>
            </w:tcBorders>
            <w:shd w:fill="FDF8EC" w:val="clear"/>
            <w:tcMar>
              <w:top w:type="dxa" w:w="160"/>
              <w:left w:type="dxa" w:w="240"/>
              <w:bottom w:type="dxa" w:w="160"/>
              <w:right w:type="dxa" w:w="240"/>
            </w:tcMar>
          </w:tcPr>
          <w:p>
            <w:pPr>
              <w:spacing w:after="120"/>
            </w:pPr>
            <w:r>
              <w:rPr>
                <w:rFonts w:ascii="Arial" w:cs="Arial" w:eastAsia="Arial" w:hAnsi="Arial"/>
                <w:b/>
                <w:bCs/>
                <w:color w:val="0B1C2D"/>
                <w:sz w:val="22"/>
                <w:szCs w:val="22"/>
              </w:rPr>
              <w:t xml:space="preserve">The Core Value Proposition</w:t>
            </w:r>
          </w:p>
          <w:p>
            <w:pPr>
              <w:spacing w:after="90"/>
            </w:pPr>
            <w:r>
              <w:rPr>
                <w:rFonts w:ascii="Arial" w:cs="Arial" w:eastAsia="Arial" w:hAnsi="Arial"/>
                <w:sz w:val="22"/>
                <w:szCs w:val="22"/>
              </w:rPr>
              <w:t xml:space="preserve">A patient in Shanghai with 20 years of records across 8 Chinese hospitals gets a single verified chronological narrative — formatted for Mayo Clinic intake — in hours.</w:t>
            </w:r>
          </w:p>
          <w:p>
            <w:pPr>
              <w:spacing w:after="90"/>
            </w:pPr>
            <w:r>
              <w:rPr>
                <w:rFonts w:ascii="Arial" w:cs="Arial" w:eastAsia="Arial" w:hAnsi="Arial"/>
                <w:sz w:val="22"/>
                <w:szCs w:val="22"/>
              </w:rPr>
              <w:t xml:space="preserve">A multinational corporation's Chinese executive gets a comprehensive health synthesis that travels with them across borders, eliminating re-examination delays at every new institution.</w:t>
            </w:r>
          </w:p>
          <w:p>
            <w:pPr>
              <w:spacing w:after="90"/>
            </w:pPr>
            <w:r>
              <w:rPr>
                <w:rFonts w:ascii="Arial" w:cs="Arial" w:eastAsia="Arial" w:hAnsi="Arial"/>
                <w:sz w:val="22"/>
                <w:szCs w:val="22"/>
              </w:rPr>
              <w:t xml:space="preserve">A TCM practitioner's diagnostic history and a Western cardiologist's findings appear in the same longitudinal record — neither system overwriting the other.</w:t>
            </w:r>
          </w:p>
          <w:p>
            <w:pPr>
              <w:spacing w:after="90"/>
            </w:pPr>
            <w:r>
              <w:rPr>
                <w:rFonts w:ascii="Arial" w:cs="Arial" w:eastAsia="Arial" w:hAnsi="Arial"/>
                <w:sz w:val="22"/>
                <w:szCs w:val="22"/>
              </w:rPr>
              <w:t xml:space="preserve">Every synthesis event is cryptographically timestamped. The audit trail is mathematically tamper-proof. PIPL and HIPAA compliance built in from architecture.</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2.  The Chinese Market Opportunity</w:t>
      </w:r>
    </w:p>
    <w:p>
      <w:pPr>
        <w:pStyle w:val="Heading2"/>
        <w:spacing w:after="160" w:before="360"/>
      </w:pPr>
      <w:r>
        <w:rPr>
          <w:rFonts w:ascii="Arial" w:cs="Arial" w:eastAsia="Arial" w:hAnsi="Arial"/>
          <w:b/>
          <w:bCs/>
          <w:color w:val="0B1C2D"/>
          <w:sz w:val="28"/>
          <w:szCs w:val="28"/>
        </w:rPr>
        <w:t xml:space="preserve">2.1  The Medical Data Wall — Specific and Measurable</w:t>
      </w:r>
    </w:p>
    <w:p>
      <w:pPr>
        <w:spacing w:after="200"/>
      </w:pPr>
      <w:r>
        <w:rPr>
          <w:rFonts w:ascii="Arial" w:cs="Arial" w:eastAsia="Arial" w:hAnsi="Arial"/>
          <w:sz w:val="22"/>
          <w:szCs w:val="22"/>
        </w:rPr>
        <w:t xml:space="preserve">The problem is not abstract. Every year, tens of thousands of Chinese patients travel internationally for specialist care in oncology, cardiac surgery, neurology, and orthopedics. The rejection rate for Chinese medical records at US academic medical centers is high — not because the clinical information is absent, but because it is in a format specialists cannot process in the time available for case review.</w:t>
      </w:r>
    </w:p>
    <w:p>
      <w:pPr>
        <w:spacing w:after="200"/>
      </w:pPr>
      <w:r>
        <w:rPr>
          <w:rFonts w:ascii="Arial" w:cs="Arial" w:eastAsia="Arial" w:hAnsi="Arial"/>
          <w:sz w:val="22"/>
          <w:szCs w:val="22"/>
        </w:rPr>
        <w:t xml:space="preserve">The records arrive as scans of handwritten Chinese characters, non-standardized lab reference ranges, imaging reports that reference equipment models unfamiliar to Western radiologists, and medication lists using Chinese pharmacopeia names with no Western equivalent cross-reference. A specialist who sees 40 cases per week cannot spend three hours decoding one Chinese file. They pass.</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F7F6F" w:sz="8"/>
              <w:left w:val="single" w:color="2F7F6F" w:sz="8"/>
              <w:bottom w:val="single" w:color="2F7F6F" w:sz="8"/>
              <w:right w:val="single" w:color="2F7F6F" w:sz="8"/>
            </w:tcBorders>
            <w:shd w:fill="E5F4F1" w:val="clear"/>
            <w:tcMar>
              <w:top w:type="dxa" w:w="160"/>
              <w:left w:type="dxa" w:w="240"/>
              <w:bottom w:type="dxa" w:w="160"/>
              <w:right w:type="dxa" w:w="240"/>
            </w:tcMar>
          </w:tcPr>
          <w:p>
            <w:pPr>
              <w:spacing w:after="120"/>
            </w:pPr>
            <w:r>
              <w:rPr>
                <w:rFonts w:ascii="Arial" w:cs="Arial" w:eastAsia="Arial" w:hAnsi="Arial"/>
                <w:b/>
                <w:bCs/>
                <w:color w:val="0B1C2D"/>
                <w:sz w:val="22"/>
                <w:szCs w:val="22"/>
              </w:rPr>
              <w:t xml:space="preserve">The Specific Rejection Triggers</w:t>
            </w:r>
          </w:p>
          <w:p>
            <w:pPr>
              <w:spacing w:after="90"/>
            </w:pPr>
            <w:r>
              <w:rPr>
                <w:rFonts w:ascii="Arial" w:cs="Arial" w:eastAsia="Arial" w:hAnsi="Arial"/>
                <w:sz w:val="22"/>
                <w:szCs w:val="22"/>
              </w:rPr>
              <w:t xml:space="preserve">Language: Simplified Chinese text in clinical notes and lab reports with no standardized translation.</w:t>
            </w:r>
          </w:p>
          <w:p>
            <w:pPr>
              <w:spacing w:after="90"/>
            </w:pPr>
            <w:r>
              <w:rPr>
                <w:rFonts w:ascii="Arial" w:cs="Arial" w:eastAsia="Arial" w:hAnsi="Arial"/>
                <w:sz w:val="22"/>
                <w:szCs w:val="22"/>
              </w:rPr>
              <w:t xml:space="preserve">Units: Chinese labs frequently use non-SI reference ranges and units not recognized by Western LIS systems.</w:t>
            </w:r>
          </w:p>
          <w:p>
            <w:pPr>
              <w:spacing w:after="90"/>
            </w:pPr>
            <w:r>
              <w:rPr>
                <w:rFonts w:ascii="Arial" w:cs="Arial" w:eastAsia="Arial" w:hAnsi="Arial"/>
                <w:sz w:val="22"/>
                <w:szCs w:val="22"/>
              </w:rPr>
              <w:t xml:space="preserve">Medication names: Chinese pharmacopeia drug names have no direct mapping to Western formulary entries.</w:t>
            </w:r>
          </w:p>
          <w:p>
            <w:pPr>
              <w:spacing w:after="90"/>
            </w:pPr>
            <w:r>
              <w:rPr>
                <w:rFonts w:ascii="Arial" w:cs="Arial" w:eastAsia="Arial" w:hAnsi="Arial"/>
                <w:sz w:val="22"/>
                <w:szCs w:val="22"/>
              </w:rPr>
              <w:t xml:space="preserve">Imaging: DICOM files from Chinese equipment with non-standard metadata fields.</w:t>
            </w:r>
          </w:p>
          <w:p>
            <w:pPr>
              <w:spacing w:after="90"/>
            </w:pPr>
            <w:r>
              <w:rPr>
                <w:rFonts w:ascii="Arial" w:cs="Arial" w:eastAsia="Arial" w:hAnsi="Arial"/>
                <w:sz w:val="22"/>
                <w:szCs w:val="22"/>
              </w:rPr>
              <w:t xml:space="preserve">Format: Chronology is absent — records are organized by institution visit, not by clinical timeline.</w:t>
            </w:r>
          </w:p>
          <w:p>
            <w:pPr>
              <w:spacing w:after="90"/>
            </w:pPr>
            <w:r>
              <w:rPr>
                <w:rFonts w:ascii="Arial" w:cs="Arial" w:eastAsia="Arial" w:hAnsi="Arial"/>
                <w:sz w:val="22"/>
                <w:szCs w:val="22"/>
              </w:rPr>
              <w:t xml:space="preserve">TCM records: Syndrome differentiation notes and herbal prescription histories have no ICD-10 equivalent and are ignored by Western reviewers.</w:t>
            </w:r>
          </w:p>
        </w:tc>
      </w:tr>
    </w:tbl>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2.2  Target Demographics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Buyer Segment</w:t>
            </w:r>
          </w:p>
        </w:tc>
        <w:tc>
          <w:tcPr>
            <w:tcW w:type="dxa" w:w="69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Description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Upper-Class Individual</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High-net-worth patients in Beijing, Shanghai, Guangzhou, Shenzhen. Self-pay for international consultation. Price-insensitive when health is at stake. Existing relationships with international travel medicine providers.</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Chinese Expatriates</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Chinese nationals living in the US, Europe, and Southeast Asia. Records split between Chinese and international institutions. Need longitudinal synthesis across both systems.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Multinational Corporations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Fortune 500 and Chinese state enterprise employees on international assignment. Corporate health packages. Employer is the buyer, not the individual. High volume, predictable revenue.</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Medical Tourism Facilitators</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Agencies that organize international patient travel to US and European hospitals. Currently handling record translation manually. Platform replaces their manual process.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International Hospitals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Western hospitals and clinics with Chinese patient intake programs. JCI-accredited hospitals in China. Need a standardized intake pipeline for cross-border referrals.</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Insurance Products</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International health insurance products sold to Chinese nationals. Underwriting requires standardized health records. Claims processing requires verified longitudinal history.</w:t>
            </w:r>
          </w:p>
        </w:tc>
      </w:tr>
    </w:tbl>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2.3  Geographic Entry Points</w:t>
      </w:r>
    </w:p>
    <w:p>
      <w:pPr>
        <w:spacing w:after="200"/>
      </w:pPr>
      <w:r>
        <w:rPr>
          <w:rFonts w:ascii="Arial" w:cs="Arial" w:eastAsia="Arial" w:hAnsi="Arial"/>
          <w:sz w:val="22"/>
          <w:szCs w:val="22"/>
        </w:rPr>
        <w:t xml:space="preserve">Initial deployment targets three cities that concentrate the addressable market, have established international healthcare relationships, and have existing Western medical infrastructure to receive referrals.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City</w:t>
            </w:r>
          </w:p>
        </w:tc>
        <w:tc>
          <w:tcPr>
            <w:tcW w:type="dxa" w:w="75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Strategic Rationale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Beijing</w:t>
            </w:r>
          </w:p>
        </w:tc>
        <w:tc>
          <w:tcPr>
            <w:tcW w:type="dxa" w:w="75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National-level institutions, diplomatic community, government officials, state enterprise headquarters. Strong international hospital presence (Beijing United Family, Sino-British Clinic).</w:t>
            </w:r>
          </w:p>
        </w:tc>
      </w:tr>
      <w:tr>
        <w:tc>
          <w:tcPr>
            <w:tcW w:type="dxa" w:w="18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Shanghai</w:t>
            </w:r>
          </w:p>
        </w:tc>
        <w:tc>
          <w:tcPr>
            <w:tcW w:type="dxa" w:w="75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Financial center, largest expatriate population in China, most internationalized healthcare market. Multiple JCI-accredited hospitals. Proximity to international trade infrastructure.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Shenzhen</w:t>
            </w:r>
          </w:p>
        </w:tc>
        <w:tc>
          <w:tcPr>
            <w:tcW w:type="dxa" w:w="75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Tech industry concentration, high-income young professional demographic, border proximity to Hong Kong international medical hub.</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3.  Clinical Intelligence Engine</w:t>
      </w:r>
    </w:p>
    <w:p>
      <w:pPr>
        <w:pStyle w:val="Heading2"/>
        <w:spacing w:after="160" w:before="360"/>
      </w:pPr>
      <w:r>
        <w:rPr>
          <w:rFonts w:ascii="Arial" w:cs="Arial" w:eastAsia="Arial" w:hAnsi="Arial"/>
          <w:b/>
          <w:bCs/>
          <w:color w:val="0B1C2D"/>
          <w:sz w:val="28"/>
          <w:szCs w:val="28"/>
        </w:rPr>
        <w:t xml:space="preserve">3.1  Stage One — Structured Extraction</w:t>
      </w:r>
    </w:p>
    <w:p>
      <w:pPr>
        <w:spacing w:after="200"/>
      </w:pPr>
      <w:r>
        <w:rPr>
          <w:rFonts w:ascii="Arial" w:cs="Arial" w:eastAsia="Arial" w:hAnsi="Arial"/>
          <w:sz w:val="22"/>
          <w:szCs w:val="22"/>
        </w:rPr>
        <w:t xml:space="preserve">The extraction engine ingests Chinese-language medical records in all formats produced by Chinese healthcare institutions. This is not a translation service. It is a structured data extraction pipeline that identifies clinical meaning regardless of language, format, or institutional convention.</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Source Type</w:t>
            </w:r>
          </w:p>
        </w:tc>
        <w:tc>
          <w:tcPr>
            <w:tcW w:type="dxa" w:w="684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Extraction Specification</w:t>
            </w:r>
          </w:p>
        </w:tc>
      </w:tr>
      <w:tr>
        <w:tc>
          <w:tcPr>
            <w:tcW w:type="dxa" w:w="25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Chinese Patient Portals</w:t>
            </w:r>
          </w:p>
        </w:tc>
        <w:tc>
          <w:tcPr>
            <w:tcW w:type="dxa" w:w="68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Ping An Good Doctor, WeChat Health, Alibaba Health, hospital-specific patient portals. Direct API connection where available, PDF export ingestion otherwise.</w:t>
            </w:r>
          </w:p>
        </w:tc>
      </w:tr>
      <w:tr>
        <w:tc>
          <w:tcPr>
            <w:tcW w:type="dxa" w:w="25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Lab Reports</w:t>
            </w:r>
          </w:p>
        </w:tc>
        <w:tc>
          <w:tcPr>
            <w:tcW w:type="dxa" w:w="68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Chinese-language lab results with non-standard reference ranges. Unit normalization to SI and US conventional. Reference range translation to Western equivalents.</w:t>
            </w:r>
          </w:p>
        </w:tc>
      </w:tr>
      <w:tr>
        <w:tc>
          <w:tcPr>
            <w:tcW w:type="dxa" w:w="25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Imaging Reports</w:t>
            </w:r>
          </w:p>
        </w:tc>
        <w:tc>
          <w:tcPr>
            <w:tcW w:type="dxa" w:w="68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DICOM metadata standardization. Radiology report extraction with equipment model cross-reference. MRI, CT, ultrasound, X-ray report synthesis.</w:t>
            </w:r>
          </w:p>
        </w:tc>
      </w:tr>
      <w:tr>
        <w:tc>
          <w:tcPr>
            <w:tcW w:type="dxa" w:w="25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TCM Records</w:t>
            </w:r>
          </w:p>
        </w:tc>
        <w:tc>
          <w:tcPr>
            <w:tcW w:type="dxa" w:w="68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Syndrome differentiation notes, constitutional type assessments, pulse and tongue diagnosis records, herbal prescription histories. Preserved in parallel TCM schema alongside Western records.</w:t>
            </w:r>
          </w:p>
        </w:tc>
      </w:tr>
      <w:tr>
        <w:tc>
          <w:tcPr>
            <w:tcW w:type="dxa" w:w="25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Surgical Records</w:t>
            </w:r>
          </w:p>
        </w:tc>
        <w:tc>
          <w:tcPr>
            <w:tcW w:type="dxa" w:w="68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Operative notes, anesthesia records, pathology reports. Procedure code mapping from Chinese procedure classification to CPT equivalents.</w:t>
            </w:r>
          </w:p>
        </w:tc>
      </w:tr>
      <w:tr>
        <w:tc>
          <w:tcPr>
            <w:tcW w:type="dxa" w:w="25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Medication Histories</w:t>
            </w:r>
          </w:p>
        </w:tc>
        <w:tc>
          <w:tcPr>
            <w:tcW w:type="dxa" w:w="68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Chinese pharmacopeia drug name mapping to Western formulary. Herbal formula composition extraction. Drug interaction cross-reference against Western medications.</w:t>
            </w:r>
          </w:p>
        </w:tc>
      </w:tr>
    </w:tbl>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3.2  Stage Two — Longitudinal Synthesis (DeepSeek AI)</w:t>
      </w:r>
    </w:p>
    <w:p>
      <w:pPr>
        <w:spacing w:after="200"/>
      </w:pPr>
      <w:r>
        <w:rPr>
          <w:rFonts w:ascii="Arial" w:cs="Arial" w:eastAsia="Arial" w:hAnsi="Arial"/>
          <w:sz w:val="22"/>
          <w:szCs w:val="22"/>
        </w:rPr>
        <w:t xml:space="preserve">DeepSeek is the primary AI model for longitudinal synthesis. The choice is deliberate and strategic, not incidental. DeepSeek has native Chinese language capability at a reasoning depth that matches or exceeds Western models on complex multi-document clinical tasks. It is self-hostable, which means PHI can be processed on China-side infrastructure for PIPL compliance without transmitting patient data to foreign servers.</w:t>
      </w:r>
    </w:p>
    <w:p>
      <w:pPr>
        <w:spacing w:after="180"/>
      </w:pPr>
      <w:r>
        <w:rPr>
          <w:rFonts w:ascii="Arial" w:cs="Arial" w:eastAsia="Arial" w:hAnsi="Arial"/>
          <w:sz w:val="22"/>
          <w:szCs w:val="22"/>
        </w:rPr>
        <w:t xml:space="preserve"/>
      </w:r>
    </w:p>
    <w:p>
      <w:pPr>
        <w:pBdr>
          <w:left w:val="single" w:color="2F7F6F" w:sz="20" w:space="8"/>
        </w:pBdr>
        <w:spacing w:after="160"/>
        <w:ind w:left="240"/>
      </w:pPr>
      <w:r>
        <w:rPr>
          <w:rFonts w:ascii="Arial" w:cs="Arial" w:eastAsia="Arial" w:hAnsi="Arial"/>
          <w:color w:val="444444"/>
          <w:sz w:val="22"/>
          <w:szCs w:val="22"/>
        </w:rPr>
        <w:t xml:space="preserve">Cross-Provider Chronology: Compiles records from every Chinese institution the patient visited into a single timeline ordered by date of service, not by provider or institution.</w:t>
      </w:r>
    </w:p>
    <w:p>
      <w:pPr>
        <w:pBdr>
          <w:left w:val="single" w:color="C9A24D" w:sz="20" w:space="8"/>
        </w:pBdr>
        <w:spacing w:after="160"/>
        <w:ind w:left="240"/>
      </w:pPr>
      <w:r>
        <w:rPr>
          <w:rFonts w:ascii="Arial" w:cs="Arial" w:eastAsia="Arial" w:hAnsi="Arial"/>
          <w:color w:val="444444"/>
          <w:sz w:val="22"/>
          <w:szCs w:val="22"/>
        </w:rPr>
        <w:t xml:space="preserve">Condition Isolation: Identifies conditions that appear in records under different diagnostic terms across TCM and Western frameworks and resolves them to a unified clinical picture.</w:t>
      </w:r>
    </w:p>
    <w:p>
      <w:pPr>
        <w:pBdr>
          <w:left w:val="single" w:color="2F7F6F" w:sz="20" w:space="8"/>
        </w:pBdr>
        <w:spacing w:after="160"/>
        <w:ind w:left="240"/>
      </w:pPr>
      <w:r>
        <w:rPr>
          <w:rFonts w:ascii="Arial" w:cs="Arial" w:eastAsia="Arial" w:hAnsi="Arial"/>
          <w:color w:val="444444"/>
          <w:sz w:val="22"/>
          <w:szCs w:val="22"/>
        </w:rPr>
        <w:t xml:space="preserve">Gap Analysis: Flags periods where records are absent, conditions went undiagnosed, or follow-up care was recommended but not documented. Surfaces the gaps the original physicians missed.</w:t>
      </w:r>
    </w:p>
    <w:p>
      <w:pPr>
        <w:pBdr>
          <w:left w:val="single" w:color="C9A24D" w:sz="20" w:space="8"/>
        </w:pBdr>
        <w:spacing w:after="160"/>
        <w:ind w:left="240"/>
      </w:pPr>
      <w:r>
        <w:rPr>
          <w:rFonts w:ascii="Arial" w:cs="Arial" w:eastAsia="Arial" w:hAnsi="Arial"/>
          <w:color w:val="444444"/>
          <w:sz w:val="22"/>
          <w:szCs w:val="22"/>
        </w:rPr>
        <w:t xml:space="preserve">TCM-Western Integration: Holds both diagnostic frameworks simultaneously in the longitudinal record. TCM constitutional assessment and Western biomarker trends appear in the same chronological view without forcing false equivalences.</w:t>
      </w:r>
    </w:p>
    <w:p>
      <w:pPr>
        <w:pBdr>
          <w:left w:val="single" w:color="2F7F6F" w:sz="20" w:space="8"/>
        </w:pBdr>
        <w:spacing w:after="160"/>
        <w:ind w:left="240"/>
      </w:pPr>
      <w:r>
        <w:rPr>
          <w:rFonts w:ascii="Arial" w:cs="Arial" w:eastAsia="Arial" w:hAnsi="Arial"/>
          <w:color w:val="444444"/>
          <w:sz w:val="22"/>
          <w:szCs w:val="22"/>
        </w:rPr>
        <w:t xml:space="preserve">Western Specialist Formatting: Final output is formatted to the intake requirements of the target institution — Mayo Clinic, Johns Hopkins, MD Anderson, Royal Marsden, or any specified specialist center.</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3.3  Stage Three — Output and Visualization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Output Type</w:t>
            </w:r>
          </w:p>
        </w:tc>
        <w:tc>
          <w:tcPr>
            <w:tcW w:type="dxa" w:w="69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Description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Western Specialist Package</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Chronological narrative in English, formatted to target institution intake standards. Lab values in US/SI units with reference ranges. Medications in Western formulary names. Imaging findings in standard radiology report format.</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3D Clinical Model Blueprint</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Anatomical structural data for 3D model generation. Mirrors the diagnostic visualization style of top Western institutions. Enables specialist review of anatomy-specific conditions before patient arrival.</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FHIR R4 Export</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Structured JSON output for direct EHR ingestion at receiving institution. Eliminates manual re-entry of patient data at the Western hospital.</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TCM Summary</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Separate TCM diagnostic summary for practitioners integrating Eastern and Western medicine. Constitutional type, active syndromes, herbal prescription history.</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Audit Package</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Court-ready signed package with full immutable ledger block references. Used for insurance claims, legal proceedings, and regulatory submissions.</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4.  TCM + Western Medicine Integration</w:t>
      </w:r>
    </w:p>
    <w:p>
      <w:pPr>
        <w:spacing w:after="200"/>
      </w:pPr>
      <w:r>
        <w:rPr>
          <w:rFonts w:ascii="Arial" w:cs="Arial" w:eastAsia="Arial" w:hAnsi="Arial"/>
          <w:sz w:val="22"/>
          <w:szCs w:val="22"/>
        </w:rPr>
        <w:t xml:space="preserve">This is the product differentiator that no existing platform offers. Every Western health IT system — Epic, Cerner, Meditech — treats TCM records as noise. They have no schema for syndrome differentiation, no field for constitutional type, no way to represent a pulse diagnosis or a tongue coating assessment. TCM records are either ignored or forced into free-text fields where they become unsearchable.</w:t>
      </w:r>
    </w:p>
    <w:p>
      <w:pPr>
        <w:spacing w:after="200"/>
      </w:pPr>
      <w:r>
        <w:rPr>
          <w:rFonts w:ascii="Arial" w:cs="Arial" w:eastAsia="Arial" w:hAnsi="Arial"/>
          <w:sz w:val="22"/>
          <w:szCs w:val="22"/>
        </w:rPr>
        <w:t xml:space="preserve">This platform treats TCM records as first-class clinical data with their own parallel schema. A patient's Qi deficiency diagnosis and their hemoglobin trend appear in the same longitudinal timeline — not merged, not overwritten, but held together so that the complete clinical picture is visible.</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4.1  The TCM Data Schema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TCM Data Field</w:t>
            </w:r>
          </w:p>
        </w:tc>
        <w:tc>
          <w:tcPr>
            <w:tcW w:type="dxa" w:w="69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Schema Specification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Constitutional Type</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Eight principal constitutional types per TCM classification. Tracked longitudinally — constitution changes over time and with treatment.</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Syndrome Differentiation</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Pattern diagnosis in TCM terms. Multiple active syndromes recorded simultaneously. Progression tracked across clinical encounters.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Pulse Diagnosis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28 classical pulse qualities recorded with date of assessment. Longitudinal pulse pattern changes are clinically significant.</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Tongue Diagnosis</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Coating, color, shape, moisture. Tracked longitudinally as a biomarker of systemic condition.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Herbal Prescriptions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Formula name, component herbs, dosage, duration. Component herbs cross-referenced against Western drug interaction databases.</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Acupuncture Points</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Treatment protocols recorded with dates and indications. Correlates with symptom timeline in longitudinal view.</w:t>
            </w:r>
          </w:p>
        </w:tc>
      </w:tr>
    </w:tbl>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4.2  The Preventative Health Model</w:t>
      </w:r>
    </w:p>
    <w:p>
      <w:pPr>
        <w:spacing w:after="200"/>
      </w:pPr>
      <w:r>
        <w:rPr>
          <w:rFonts w:ascii="Arial" w:cs="Arial" w:eastAsia="Arial" w:hAnsi="Arial"/>
          <w:sz w:val="22"/>
          <w:szCs w:val="22"/>
        </w:rPr>
        <w:t xml:space="preserve">The strategic objective is not to process records after illness occurs. It is to use longitudinal data to identify patterns that predict illness before it manifests — the fundamental premise of both TCM preventative medicine and modern predictive analytics.</w:t>
      </w:r>
    </w:p>
    <w:p>
      <w:pPr>
        <w:spacing w:after="200"/>
      </w:pPr>
      <w:r>
        <w:rPr>
          <w:rFonts w:ascii="Arial" w:cs="Arial" w:eastAsia="Arial" w:hAnsi="Arial"/>
          <w:sz w:val="22"/>
          <w:szCs w:val="22"/>
        </w:rPr>
        <w:t xml:space="preserve">A patient whose TCM constitutional assessment shows progressive Qi deficiency, whose Western biomarkers show HbA1c trending toward pre-diabetic range, and whose medication history shows three different physicians prescribing sleep aids without investigating the underlying cause — that patient's longitudinal synthesis surfaces a picture no single physician ever saw. The platform shows the pattern. The physician acts on it before the crisis.</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24D" w:sz="8"/>
              <w:left w:val="single" w:color="C9A24D" w:sz="8"/>
              <w:bottom w:val="single" w:color="C9A24D" w:sz="8"/>
              <w:right w:val="single" w:color="C9A24D" w:sz="8"/>
            </w:tcBorders>
            <w:shd w:fill="FDF8EC" w:val="clear"/>
            <w:tcMar>
              <w:top w:type="dxa" w:w="160"/>
              <w:left w:type="dxa" w:w="240"/>
              <w:bottom w:type="dxa" w:w="160"/>
              <w:right w:type="dxa" w:w="240"/>
            </w:tcMar>
          </w:tcPr>
          <w:p>
            <w:pPr>
              <w:spacing w:after="120"/>
            </w:pPr>
            <w:r>
              <w:rPr>
                <w:rFonts w:ascii="Arial" w:cs="Arial" w:eastAsia="Arial" w:hAnsi="Arial"/>
                <w:b/>
                <w:bCs/>
                <w:color w:val="0B1C2D"/>
                <w:sz w:val="22"/>
                <w:szCs w:val="22"/>
              </w:rPr>
              <w:t xml:space="preserve">Long-Term Longevity Model</w:t>
            </w:r>
          </w:p>
          <w:p>
            <w:pPr>
              <w:spacing w:after="90"/>
            </w:pPr>
            <w:r>
              <w:rPr>
                <w:rFonts w:ascii="Arial" w:cs="Arial" w:eastAsia="Arial" w:hAnsi="Arial"/>
                <w:sz w:val="22"/>
                <w:szCs w:val="22"/>
              </w:rPr>
              <w:t xml:space="preserve">Annual comprehensive synthesis: yearly longitudinal update integrating all new clinical events across both TCM and Western providers.</w:t>
            </w:r>
          </w:p>
          <w:p>
            <w:pPr>
              <w:spacing w:after="90"/>
            </w:pPr>
            <w:r>
              <w:rPr>
                <w:rFonts w:ascii="Arial" w:cs="Arial" w:eastAsia="Arial" w:hAnsi="Arial"/>
                <w:sz w:val="22"/>
                <w:szCs w:val="22"/>
              </w:rPr>
              <w:t xml:space="preserve">Predictive flag generation: DeepSeek identifies biomarker trends that precede common chronic conditions in the patient's demographic and genetic profile.</w:t>
            </w:r>
          </w:p>
          <w:p>
            <w:pPr>
              <w:spacing w:after="90"/>
            </w:pPr>
            <w:r>
              <w:rPr>
                <w:rFonts w:ascii="Arial" w:cs="Arial" w:eastAsia="Arial" w:hAnsi="Arial"/>
                <w:sz w:val="22"/>
                <w:szCs w:val="22"/>
              </w:rPr>
              <w:t xml:space="preserve">Cross-system medication reconciliation: herbal formulas cross-referenced against Western prescriptions for interaction risk annually.</w:t>
            </w:r>
          </w:p>
          <w:p>
            <w:pPr>
              <w:spacing w:after="90"/>
            </w:pPr>
            <w:r>
              <w:rPr>
                <w:rFonts w:ascii="Arial" w:cs="Arial" w:eastAsia="Arial" w:hAnsi="Arial"/>
                <w:sz w:val="22"/>
                <w:szCs w:val="22"/>
              </w:rPr>
              <w:t xml:space="preserve">Constitutional trend monitoring: TCM constitutional changes tracked as early indicators of systemic shift before Western biomarkers become abnormal.</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5.  Immutable Ledger Architecture</w:t>
      </w:r>
    </w:p>
    <w:p>
      <w:pPr>
        <w:spacing w:after="200"/>
      </w:pPr>
      <w:r>
        <w:rPr>
          <w:rFonts w:ascii="Arial" w:cs="Arial" w:eastAsia="Arial" w:hAnsi="Arial"/>
          <w:sz w:val="22"/>
          <w:szCs w:val="22"/>
        </w:rPr>
        <w:t xml:space="preserve">Every upload, every extraction event, every synthesis generation, and every output delivery writes a cryptographic hash to the chain. The result is a mathematically tamper-proof audit log. This is not a compliance checkbox. It is a clinical necessity: when a physician acts on synthesized records, the provenance of those records must be verifiable.</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5.1  Three-Chain Architecture</w:t>
      </w:r>
    </w:p>
    <w:p>
      <w:pPr>
        <w:pBdr>
          <w:left w:val="single" w:color="2F7F6F" w:sz="20" w:space="8"/>
        </w:pBdr>
        <w:spacing w:after="160"/>
        <w:ind w:left="240"/>
      </w:pPr>
      <w:r>
        <w:rPr>
          <w:rFonts w:ascii="Arial" w:cs="Arial" w:eastAsia="Arial" w:hAnsi="Arial"/>
          <w:color w:val="444444"/>
          <w:sz w:val="22"/>
          <w:szCs w:val="22"/>
        </w:rPr>
        <w:t xml:space="preserve">Clinical Record Chain: Every clinical event entering the platform creates a block. SHA3-256 hash of source document plus structured extraction. Sole source of new clinical records. Cannot be modified after creation.</w:t>
      </w:r>
    </w:p>
    <w:p>
      <w:pPr>
        <w:pBdr>
          <w:left w:val="single" w:color="C9A24D" w:sz="20" w:space="8"/>
        </w:pBdr>
        <w:spacing w:after="160"/>
        <w:ind w:left="240"/>
      </w:pPr>
      <w:r>
        <w:rPr>
          <w:rFonts w:ascii="Arial" w:cs="Arial" w:eastAsia="Arial" w:hAnsi="Arial"/>
          <w:color w:val="444444"/>
          <w:sz w:val="22"/>
          <w:szCs w:val="22"/>
        </w:rPr>
        <w:t xml:space="preserve">Longitudinal Chain: Links clinical records across time and providers. Every synthesis transaction references specific Clinical Record Chain blocks. Full causal traceability from current condition to earliest relevant event.</w:t>
      </w:r>
    </w:p>
    <w:p>
      <w:pPr>
        <w:pBdr>
          <w:left w:val="single" w:color="2F7F6F" w:sz="20" w:space="8"/>
        </w:pBdr>
        <w:spacing w:after="160"/>
        <w:ind w:left="240"/>
      </w:pPr>
      <w:r>
        <w:rPr>
          <w:rFonts w:ascii="Arial" w:cs="Arial" w:eastAsia="Arial" w:hAnsi="Arial"/>
          <w:color w:val="444444"/>
          <w:sz w:val="22"/>
          <w:szCs w:val="22"/>
        </w:rPr>
        <w:t xml:space="preserve">Consent and Access Chain: Every access authorization, every query, every output delivery logged with requester identity and output hash. Access permission cannot create clinical records — architecturally enforced.</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5.2  Regulatory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Regulation</w:t>
            </w:r>
          </w:p>
        </w:tc>
        <w:tc>
          <w:tcPr>
            <w:tcW w:type="dxa" w:w="75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Compliance Architecture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China PIPL</w:t>
            </w:r>
          </w:p>
        </w:tc>
        <w:tc>
          <w:tcPr>
            <w:tcW w:type="dxa" w:w="75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Personal Information Protection Law (2021). PHI for Chinese nationals processed on China-side infrastructure using self-hosted DeepSeek. Cross-border data transfer only with explicit patient consent recorded on Consent Chain. Data localization requirements met by default.</w:t>
            </w:r>
          </w:p>
        </w:tc>
      </w:tr>
      <w:tr>
        <w:tc>
          <w:tcPr>
            <w:tcW w:type="dxa" w:w="18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China DSL</w:t>
            </w:r>
          </w:p>
        </w:tc>
        <w:tc>
          <w:tcPr>
            <w:tcW w:type="dxa" w:w="75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Data Security Law (2021). Health data classified as Important Data under DSL. Security assessment required for cross-border transfer of Important Data. Consent Chain provides the required audit trail for regulatory review.</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HIPAA</w:t>
            </w:r>
          </w:p>
        </w:tc>
        <w:tc>
          <w:tcPr>
            <w:tcW w:type="dxa" w:w="75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PHI encrypted AES-256 at rest, TLS 1.3 in transit. Ledger stores hashes, not PHI. Business Associate Agreement framework for US-side processing. HIPAA Security Rule compliance by architectural design.</w:t>
            </w:r>
          </w:p>
        </w:tc>
      </w:tr>
      <w:tr>
        <w:tc>
          <w:tcPr>
            <w:tcW w:type="dxa" w:w="18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HITECH</w:t>
            </w:r>
          </w:p>
        </w:tc>
        <w:tc>
          <w:tcPr>
            <w:tcW w:type="dxa" w:w="75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Breach notification requirements. Consent Chain provides complete access log for breach analysis. Every access event is time-stamped and identity-bound.</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FedRAMP</w:t>
            </w:r>
          </w:p>
        </w:tc>
        <w:tc>
          <w:tcPr>
            <w:tcW w:type="dxa" w:w="75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Pathway for US federal market deployments (VA, DOD). Air-gap deployment option available. Documented ATO pathway for sensitive federal environments.</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6.  International Clinic Network</w:t>
      </w:r>
    </w:p>
    <w:p>
      <w:pPr>
        <w:spacing w:after="200"/>
      </w:pPr>
      <w:r>
        <w:rPr>
          <w:rFonts w:ascii="Arial" w:cs="Arial" w:eastAsia="Arial" w:hAnsi="Arial"/>
          <w:sz w:val="22"/>
          <w:szCs w:val="22"/>
        </w:rPr>
        <w:t xml:space="preserve">The software platform is the connective tissue. The physical network is the delivery mechanism. The strategic objective is a network of international hospitals and clinics in trade centers that deliver US-standard medical care supported by electronic conduits to leading US teaching hospitals.</w:t>
      </w:r>
    </w:p>
    <w:p>
      <w:pPr>
        <w:spacing w:after="200"/>
      </w:pPr>
      <w:r>
        <w:rPr>
          <w:rFonts w:ascii="Arial" w:cs="Arial" w:eastAsia="Arial" w:hAnsi="Arial"/>
          <w:sz w:val="22"/>
          <w:szCs w:val="22"/>
        </w:rPr>
        <w:t xml:space="preserve">This transforms the platform from a data processing service into a care delivery infrastructure. The clinic is where the patient arrives. The platform is how the patient's records reach the specialist. The electronic conduit is how the specialist's findings return to the clinic. The patient never has to travel to the US for the initial consultation — they travel only when the intervention requires it.</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Network Node</w:t>
            </w:r>
          </w:p>
        </w:tc>
        <w:tc>
          <w:tcPr>
            <w:tcW w:type="dxa" w:w="69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Function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China Entry Clinics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International standard primary care clinics in Beijing, Shanghai, and Shenzhen. Staffed by Western-trained or dual-trained physicians. Platform generates synthesis on patient intake. TCM integration available at same facility.</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US Teaching Hospital Network</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Electronic conduit agreements with US academic medical centers. Standardized FHIR R4 referral packages generated by platform. Specialist review of synthesis before accepting case. Platform removes the rejection friction.</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Hong Kong Hub</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Bridge between mainland China and international healthcare. Established Western medical infrastructure. Less restrictive data environment than mainland. Regional operations center.</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Southeast Asia Network</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Singapore, Bangkok, Kuala Lumpur. Large Chinese expatriate populations. Existing medical tourism infrastructure. Platform standardizes cross-border referral from all three cities to US specialists.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European Network</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London, Zurich, Munich. Chinese patients seeking European specialist care face same data wall as US-bound patients. Platform output formatted for European specialist requirements.</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7.  System Architecture</w:t>
      </w:r>
    </w:p>
    <w:p>
      <w:pPr>
        <w:pStyle w:val="Heading2"/>
        <w:spacing w:after="160" w:before="360"/>
      </w:pPr>
      <w:r>
        <w:rPr>
          <w:rFonts w:ascii="Arial" w:cs="Arial" w:eastAsia="Arial" w:hAnsi="Arial"/>
          <w:b/>
          <w:bCs/>
          <w:color w:val="0B1C2D"/>
          <w:sz w:val="28"/>
          <w:szCs w:val="28"/>
        </w:rPr>
        <w:t xml:space="preserve">7.1  Infrastructure Principles</w:t>
      </w:r>
    </w:p>
    <w:p>
      <w:pPr>
        <w:spacing w:after="200"/>
      </w:pPr>
      <w:r>
        <w:rPr>
          <w:rFonts w:ascii="Arial" w:cs="Arial" w:eastAsia="Arial" w:hAnsi="Arial"/>
          <w:sz w:val="22"/>
          <w:szCs w:val="22"/>
        </w:rPr>
        <w:t xml:space="preserve">No Microsoft stack. Azure excluded. Vendor lock-in and PHI data sovereignty concerns are unacceptable in a China-market architecture. Self-hosted infrastructure on VPS with Docker containerization. DeepSeek self-hosted for PIPL compliance. All PHI remains in the jurisdiction of the patient unless explicit cross-border consent is recorded on the Consent Chain.</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Component</w:t>
            </w:r>
          </w:p>
        </w:tc>
        <w:tc>
          <w:tcPr>
            <w:tcW w:type="dxa" w:w="72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Technology</w:t>
            </w:r>
          </w:p>
        </w:tc>
      </w:tr>
      <w:tr>
        <w:tc>
          <w:tcPr>
            <w:tcW w:type="dxa" w:w="21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AI Engine</w:t>
            </w:r>
          </w:p>
        </w:tc>
        <w:tc>
          <w:tcPr>
            <w:tcW w:type="dxa" w:w="72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DeepSeek — native Chinese language, self-hostable, PIPL-compliant. Google Document AI for OCR on scanned records. Google Translate for 133-language initial pass before DeepSeek clinical synthesis.</w:t>
            </w:r>
          </w:p>
        </w:tc>
      </w:tr>
      <w:tr>
        <w:tc>
          <w:tcPr>
            <w:tcW w:type="dxa" w:w="21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Database</w:t>
            </w:r>
          </w:p>
        </w:tc>
        <w:tc>
          <w:tcPr>
            <w:tcW w:type="dxa" w:w="72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Supabase (PostgreSQL) — PHI data store with row-level security. Separate China-side and US-side instances. Data does not cross border without Consent Chain authorization.</w:t>
            </w:r>
          </w:p>
        </w:tc>
      </w:tr>
      <w:tr>
        <w:tc>
          <w:tcPr>
            <w:tcW w:type="dxa" w:w="21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Ledger</w:t>
            </w:r>
          </w:p>
        </w:tc>
        <w:tc>
          <w:tcPr>
            <w:tcW w:type="dxa" w:w="72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Three-chain immutable ledger — SHA3-256 hash chain. Python implementation. Deployed on same VPS as API layer. Block data replicated to both jurisdictions.</w:t>
            </w:r>
          </w:p>
        </w:tc>
      </w:tr>
      <w:tr>
        <w:tc>
          <w:tcPr>
            <w:tcW w:type="dxa" w:w="21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API Layer</w:t>
            </w:r>
          </w:p>
        </w:tc>
        <w:tc>
          <w:tcPr>
            <w:tcW w:type="dxa" w:w="72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Flask + Gunicorn REST API. Nginx reverse proxy. TLS 1.3. Rate limiting. NDA-gated /solution/ portal for partner and investor access.</w:t>
            </w:r>
          </w:p>
        </w:tc>
      </w:tr>
      <w:tr>
        <w:tc>
          <w:tcPr>
            <w:tcW w:type="dxa" w:w="21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Workflow</w:t>
            </w:r>
          </w:p>
        </w:tc>
        <w:tc>
          <w:tcPr>
            <w:tcW w:type="dxa" w:w="72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n8n — clinical event triggers, notification routing, report delivery, partner API webhooks.</w:t>
            </w:r>
          </w:p>
        </w:tc>
      </w:tr>
      <w:tr>
        <w:tc>
          <w:tcPr>
            <w:tcW w:type="dxa" w:w="21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Monitoring</w:t>
            </w:r>
          </w:p>
        </w:tc>
        <w:tc>
          <w:tcPr>
            <w:tcW w:type="dxa" w:w="72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Grafana + Uptime Kuma — operations dashboard, availability monitoring, ledger integrity checks.</w:t>
            </w:r>
          </w:p>
        </w:tc>
      </w:tr>
      <w:tr>
        <w:tc>
          <w:tcPr>
            <w:tcW w:type="dxa" w:w="21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Infrastructure</w:t>
            </w:r>
          </w:p>
        </w:tc>
        <w:tc>
          <w:tcPr>
            <w:tcW w:type="dxa" w:w="72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Hostinger VPS, Ubuntu 22.04 LTS. Docker + Portainer. WireGuard VPN between China-side and US-side nodes.</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8.  Deployment Instances</w:t>
      </w:r>
    </w:p>
    <w:p>
      <w:pPr>
        <w:spacing w:after="200"/>
      </w:pPr>
      <w:r>
        <w:rPr>
          <w:rFonts w:ascii="Arial" w:cs="Arial" w:eastAsia="Arial" w:hAnsi="Arial"/>
          <w:sz w:val="22"/>
          <w:szCs w:val="22"/>
        </w:rPr>
        <w:t xml:space="preserve">The platform deploys as configured instances of the core architecture. Each instance serves a specific market segment with tuned extraction profiles, AI prompt templates, and output formats. The core three-chain ledger, extraction engine, and DeepSeek integration are identical across all instances.</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3000"/>
        <w:gridCol w:w="6000"/>
      </w:tblGrid>
      <w:tr>
        <w:tc>
          <w:tcPr>
            <w:tcW w:type="dxa" w:w="3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w:t>
            </w:r>
          </w:p>
        </w:tc>
        <w:tc>
          <w:tcPr>
            <w:tcW w:type="dxa" w:w="30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Instance</w:t>
            </w:r>
          </w:p>
        </w:tc>
        <w:tc>
          <w:tcPr>
            <w:tcW w:type="dxa" w:w="60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Description</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China-West Bridge — Core</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Primary product. Chinese records to Western specialist format. Beijing, Shanghai entry.</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2</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TCM-Western Integration</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Dual-framework longitudinal synthesis. TCM schema + Western biomarkers in single timeline.</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3</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China Corporate Health</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B2B multinational employer product. Group health synthesis. Annual longevity reports.</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4</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Cross-Border Oncology</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Cancer record synthesis for MD Anderson, Memorial Sloan Kettering, Mayo intake.</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5</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Cross-Border Cardiac</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Cardiology records, echo reports, cath lab results for US/EU specialist review.</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6</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Cross-Border Neurology</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Neurology, spine, imaging synthesis for neurosurgical second opinions.</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7</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Hong Kong Hub</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Regional operations. Bridge between mainland PIPL environment and international data flow.</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8</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Southeast Asia Chinese Expat</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Singapore, Bangkok, KL. Chinese expat patient intake for US/EU referral.</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9</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European Specialist Bridge</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Chinese records formatted for European (UK, Germany, Switzerland) specialist intake.</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10</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China Insurance Underwriting</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Longitudinal health synthesis for international health insurance underwriting.</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11</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Medical Tourism Facilitator</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White-label API for agencies organizing international patient travel.</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12</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JCI Hospital Partner</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White-label instance for JCI-accredited hospitals in China with international intake programs.</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13</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Preventative Longevity</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Annual comprehensive synthesis product for long-term health management subscribers.</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14</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Immigration Medical (I-693)</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Civil surgeon exam support for Chinese nationals applying for US immigration.</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15</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Legal — Personal Injury</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Chinese plaintiff medical record synthesis for US court proceedings.</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16</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Clinical Trial Eligibility</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Chinese patient baseline record standardization for international trial enrollment.</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17</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VA/Federal (Chinese Veterans)</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US veterans with partial records from Chinese military or civilian institutions.</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18</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Air-Gap Federal</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Fully air-gapped deployment for sensitive federal environments. DOD/VA ATO pathway.</w:t>
            </w:r>
          </w:p>
        </w:tc>
      </w:tr>
      <w:tr>
        <w:tc>
          <w:tcPr>
            <w:tcW w:type="dxa" w:w="3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19</w:t>
            </w:r>
          </w:p>
        </w:tc>
        <w:tc>
          <w:tcPr>
            <w:tcW w:type="dxa" w:w="3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Research Cohort</w:t>
            </w:r>
          </w:p>
        </w:tc>
        <w:tc>
          <w:tcPr>
            <w:tcW w:type="dxa" w:w="60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De-identified TCM + Western longitudinal data for academic research on integrative medicine.</w:t>
            </w:r>
          </w:p>
        </w:tc>
      </w:tr>
      <w:tr>
        <w:tc>
          <w:tcPr>
            <w:tcW w:type="dxa" w:w="3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20</w:t>
            </w:r>
          </w:p>
        </w:tc>
        <w:tc>
          <w:tcPr>
            <w:tcW w:type="dxa" w:w="3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Global Scale</w:t>
            </w:r>
          </w:p>
        </w:tc>
        <w:tc>
          <w:tcPr>
            <w:tcW w:type="dxa" w:w="60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Open API for any high-friction medical environment worldwide. Subscription tier.</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9.  Revenue Architecture</w:t>
      </w:r>
    </w:p>
    <w:p>
      <w:pPr>
        <w:pStyle w:val="Heading2"/>
        <w:spacing w:after="160" w:before="360"/>
      </w:pPr>
      <w:r>
        <w:rPr>
          <w:rFonts w:ascii="Arial" w:cs="Arial" w:eastAsia="Arial" w:hAnsi="Arial"/>
          <w:b/>
          <w:bCs/>
          <w:color w:val="0B1C2D"/>
          <w:sz w:val="28"/>
          <w:szCs w:val="28"/>
        </w:rPr>
        <w:t xml:space="preserve">9.1  Revenue Streams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Revenue Stream</w:t>
            </w:r>
          </w:p>
        </w:tc>
        <w:tc>
          <w:tcPr>
            <w:tcW w:type="dxa" w:w="648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Description</w:t>
            </w:r>
          </w:p>
        </w:tc>
      </w:tr>
      <w:tr>
        <w:tc>
          <w:tcPr>
            <w:tcW w:type="dxa" w:w="28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Per-Case Processing</w:t>
            </w:r>
          </w:p>
        </w:tc>
        <w:tc>
          <w:tcPr>
            <w:tcW w:type="dxa" w:w="64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Individual patient synthesis packages. China-West Bridge: $300-$1,200 per case depending on record volume and output format. TCM-Western Integration premium: +$200 per case.</w:t>
            </w:r>
          </w:p>
        </w:tc>
      </w:tr>
      <w:tr>
        <w:tc>
          <w:tcPr>
            <w:tcW w:type="dxa" w:w="28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Corporate Subscription</w:t>
            </w:r>
          </w:p>
        </w:tc>
        <w:tc>
          <w:tcPr>
            <w:tcW w:type="dxa" w:w="64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Annual contract with multinational employer for employee health synthesis. $500-$2,000 per employee per year. 50-500 employees per contract. Predictable recurring revenue.</w:t>
            </w:r>
          </w:p>
        </w:tc>
      </w:tr>
      <w:tr>
        <w:tc>
          <w:tcPr>
            <w:tcW w:type="dxa" w:w="28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White-Label Licensing</w:t>
            </w:r>
          </w:p>
        </w:tc>
        <w:tc>
          <w:tcPr>
            <w:tcW w:type="dxa" w:w="64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Annual license for hospitals, insurance companies, and medical tourism agencies deploying branded instance. $50,000-$200,000 per year plus per-case volume fee.</w:t>
            </w:r>
          </w:p>
        </w:tc>
      </w:tr>
      <w:tr>
        <w:tc>
          <w:tcPr>
            <w:tcW w:type="dxa" w:w="28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Longevity Subscription</w:t>
            </w:r>
          </w:p>
        </w:tc>
        <w:tc>
          <w:tcPr>
            <w:tcW w:type="dxa" w:w="64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Annual comprehensive synthesis for individual long-term subscribers. $800-$2,400 per year. High retention — patient records grow more valuable each year.</w:t>
            </w:r>
          </w:p>
        </w:tc>
      </w:tr>
      <w:tr>
        <w:tc>
          <w:tcPr>
            <w:tcW w:type="dxa" w:w="28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Insurance Integration</w:t>
            </w:r>
          </w:p>
        </w:tc>
        <w:tc>
          <w:tcPr>
            <w:tcW w:type="dxa" w:w="64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Per-policy fee for underwriting synthesis. Per-claim fee for claims processing synthesis. Volume pricing for insurance product partners.</w:t>
            </w:r>
          </w:p>
        </w:tc>
      </w:tr>
      <w:tr>
        <w:tc>
          <w:tcPr>
            <w:tcW w:type="dxa" w:w="28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Research Data</w:t>
            </w:r>
          </w:p>
        </w:tc>
        <w:tc>
          <w:tcPr>
            <w:tcW w:type="dxa" w:w="648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De-identified TCM + Western longitudinal data. IRB-approved protocols. Pharmaceutical companies, academic institutions, integrative medicine research programs.</w:t>
            </w:r>
          </w:p>
        </w:tc>
      </w:tr>
      <w:tr>
        <w:tc>
          <w:tcPr>
            <w:tcW w:type="dxa" w:w="28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Audit Package Premium</w:t>
            </w:r>
          </w:p>
        </w:tc>
        <w:tc>
          <w:tcPr>
            <w:tcW w:type="dxa" w:w="648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Court-ready signed audit package with full ledger documentation. $500-$1,500 per package. Legal proceedings, regulatory submissions, insurance disputes.</w:t>
            </w:r>
          </w:p>
        </w:tc>
      </w:tr>
    </w:tbl>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9.2  Revenue Potential — China Market Entry</w:t>
      </w:r>
    </w:p>
    <w:p>
      <w:pPr>
        <w:spacing w:after="200"/>
      </w:pPr>
      <w:r>
        <w:rPr>
          <w:rFonts w:ascii="Arial" w:cs="Arial" w:eastAsia="Arial" w:hAnsi="Arial"/>
          <w:sz w:val="22"/>
          <w:szCs w:val="22"/>
        </w:rPr>
        <w:t xml:space="preserve">The Chinese medical tourism market sends an estimated 600,000 patients internationally per year for specialist care. At an average case synthesis fee of $600, full market penetration represents $360 million annually. Realistic 1% initial penetration is $3.6 million from individual cases alone — before corporate subscriptions or white-label licensing.</w:t>
      </w:r>
    </w:p>
    <w:p>
      <w:pPr>
        <w:spacing w:after="200"/>
      </w:pPr>
      <w:r>
        <w:rPr>
          <w:rFonts w:ascii="Arial" w:cs="Arial" w:eastAsia="Arial" w:hAnsi="Arial"/>
          <w:sz w:val="22"/>
          <w:szCs w:val="22"/>
        </w:rPr>
        <w:t xml:space="preserve">The multinational corporation segment is the fastest path to revenue. A single Fortune 500 company with 200 Chinese employees on international assignment contracts for $200,000 per year in corporate health subscriptions. Ten such contracts is $2 million annually, signed before a single individual patient case is processed.</w:t>
      </w:r>
    </w:p>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10.  Competitive Position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6720"/>
      </w:tblGrid>
      <w:tr>
        <w:tc>
          <w:tcPr>
            <w:tcW w:type="dxa" w:w="264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Comparison</w:t>
            </w:r>
          </w:p>
        </w:tc>
        <w:tc>
          <w:tcPr>
            <w:tcW w:type="dxa" w:w="672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Differentiation</w:t>
            </w:r>
          </w:p>
        </w:tc>
      </w:tr>
      <w:tr>
        <w:tc>
          <w:tcPr>
            <w:tcW w:type="dxa" w:w="26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vs. Medical Translation Services</w:t>
            </w:r>
          </w:p>
        </w:tc>
        <w:tc>
          <w:tcPr>
            <w:tcW w:type="dxa" w:w="67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Translation services produce PDFs that specialists still reject. The platform produces structured data in the specialist's required format. Not a translation service — a data transformation platform.</w:t>
            </w:r>
          </w:p>
        </w:tc>
      </w:tr>
      <w:tr>
        <w:tc>
          <w:tcPr>
            <w:tcW w:type="dxa" w:w="26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vs. Western EHR Vendors</w:t>
            </w:r>
          </w:p>
        </w:tc>
        <w:tc>
          <w:tcPr>
            <w:tcW w:type="dxa" w:w="67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Epic, Cerner, and Meditech have no Chinese language capability, no TCM schema, and no cross-border intake pipeline. They are institutional systems, not patient-facing cross-border tools.</w:t>
            </w:r>
          </w:p>
        </w:tc>
      </w:tr>
      <w:tr>
        <w:tc>
          <w:tcPr>
            <w:tcW w:type="dxa" w:w="26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vs. Chinese Health Apps</w:t>
            </w:r>
          </w:p>
        </w:tc>
        <w:tc>
          <w:tcPr>
            <w:tcW w:type="dxa" w:w="67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Ping An Good Doctor, WeChat Health, and similar apps store Chinese records but have no Western specialist output pipeline and no TCM-Western integration layer.</w:t>
            </w:r>
          </w:p>
        </w:tc>
      </w:tr>
      <w:tr>
        <w:tc>
          <w:tcPr>
            <w:tcW w:type="dxa" w:w="26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vs. Medical Tourism Agencies</w:t>
            </w:r>
          </w:p>
        </w:tc>
        <w:tc>
          <w:tcPr>
            <w:tcW w:type="dxa" w:w="67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Agencies handle logistics. They do not process records. They are a distribution channel for the platform, not a competitor.</w:t>
            </w:r>
          </w:p>
        </w:tc>
      </w:tr>
      <w:tr>
        <w:tc>
          <w:tcPr>
            <w:tcW w:type="dxa" w:w="264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vs. Consumer AI (GPT etc.)</w:t>
            </w:r>
          </w:p>
        </w:tc>
        <w:tc>
          <w:tcPr>
            <w:tcW w:type="dxa" w:w="672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Cannot handle PHI at scale. No audit trail. No provenance. Cannot be deployed in China under PIPL. Not a competitive threat — a positioning differentiator.</w:t>
            </w:r>
          </w:p>
        </w:tc>
      </w:tr>
      <w:tr>
        <w:tc>
          <w:tcPr>
            <w:tcW w:type="dxa" w:w="264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Unique Position</w:t>
            </w:r>
          </w:p>
        </w:tc>
        <w:tc>
          <w:tcPr>
            <w:tcW w:type="dxa" w:w="672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No existing platform holds TCM and Western records in a unified longitudinal schema, processes Chinese-language source material natively, and formats output for Western specialist intake. This combination does not exist in the market.</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11.  TOGAF Portfolio Mapping</w:t>
      </w:r>
    </w:p>
    <w:p>
      <w:pPr>
        <w:spacing w:after="200"/>
      </w:pPr>
      <w:r>
        <w:rPr>
          <w:rFonts w:ascii="Arial" w:cs="Arial" w:eastAsia="Arial" w:hAnsi="Arial"/>
          <w:sz w:val="22"/>
          <w:szCs w:val="22"/>
        </w:rPr>
        <w:t xml:space="preserve">Within the Rogers Strategy &amp; IT Consulting enterprise portfolio, Medical AI is classified under the Education and Human Capital Development strategic pillar. The TOGAF Enterprise Continuum positions this segment as a specialized, monetizable architecture built on reusable building blocks shared across the seven-venture portfolio.</w:t>
      </w:r>
    </w:p>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TOGAF Domain</w:t>
            </w:r>
          </w:p>
        </w:tc>
        <w:tc>
          <w:tcPr>
            <w:tcW w:type="dxa" w:w="6960"/>
            <w:tcBorders>
              <w:top w:val="single" w:color="0B1C2D" w:sz="8"/>
              <w:left w:val="single" w:color="0B1C2D" w:sz="8"/>
              <w:bottom w:val="single" w:color="0B1C2D" w:sz="8"/>
              <w:right w:val="single" w:color="0B1C2D" w:sz="8"/>
            </w:tcBorders>
            <w:shd w:fill="0B1C2D" w:val="clear"/>
            <w:tcMar>
              <w:top w:type="dxa" w:w="100"/>
              <w:left w:type="dxa" w:w="140"/>
              <w:bottom w:type="dxa" w:w="100"/>
              <w:right w:type="dxa" w:w="140"/>
            </w:tcMar>
          </w:tcPr>
          <w:p>
            <w:pPr>
              <w:spacing w:after="0"/>
            </w:pPr>
            <w:r>
              <w:rPr>
                <w:rFonts w:ascii="Arial" w:cs="Arial" w:eastAsia="Arial" w:hAnsi="Arial"/>
                <w:b/>
                <w:bCs/>
                <w:color w:val="FFFFFF"/>
                <w:sz w:val="20"/>
                <w:szCs w:val="20"/>
              </w:rPr>
              <w:t xml:space="preserve">Medical AI Mapping</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Business Architecture</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Cross-border healthcare intake market. TCM-Western integration as service differentiator. B2B corporate health and B2C individual patient revenue models. International clinic network as physical delivery layer.</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Data Architecture</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Three-chain immutable ledger. TCM parallel schema alongside Western clinical data model. FHIR R4 for interoperability. PIPL-compliant data localization with cross-border consent architecture.</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b/>
                <w:bCs/>
                <w:sz w:val="20"/>
                <w:szCs w:val="20"/>
              </w:rPr>
              <w:t xml:space="preserve">Application Architecture</w:t>
            </w:r>
          </w:p>
        </w:tc>
        <w:tc>
          <w:tcPr>
            <w:tcW w:type="dxa" w:w="69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pPr>
              <w:spacing w:after="0"/>
            </w:pPr>
            <w:r>
              <w:rPr>
                <w:rFonts w:ascii="Arial" w:cs="Arial" w:eastAsia="Arial" w:hAnsi="Arial"/>
                <w:sz w:val="22"/>
                <w:szCs w:val="22"/>
              </w:rPr>
              <w:t xml:space="preserve">Clinical Intelligence Engine (extraction, synthesis, output). DeepSeek AI integration. Patient portal ingestion adapters. Western specialist output formatters. FHIR API layer.</w:t>
            </w:r>
          </w:p>
        </w:tc>
      </w:tr>
      <w:tr>
        <w:tc>
          <w:tcPr>
            <w:tcW w:type="dxa" w:w="240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b/>
                <w:bCs/>
                <w:sz w:val="20"/>
                <w:szCs w:val="20"/>
              </w:rPr>
              <w:t xml:space="preserve">Technology Architecture</w:t>
            </w:r>
          </w:p>
        </w:tc>
        <w:tc>
          <w:tcPr>
            <w:tcW w:type="dxa" w:w="6960"/>
            <w:tcBorders>
              <w:top w:val="single" w:color="CCCCCC" w:sz="4"/>
              <w:left w:val="single" w:color="CCCCCC" w:sz="4"/>
              <w:bottom w:val="single" w:color="CCCCCC" w:sz="4"/>
              <w:right w:val="single" w:color="CCCCCC" w:sz="4"/>
            </w:tcBorders>
            <w:shd w:fill="F6F4EF" w:val="clear"/>
            <w:tcMar>
              <w:top w:type="dxa" w:w="80"/>
              <w:left w:type="dxa" w:w="140"/>
              <w:bottom w:type="dxa" w:w="80"/>
              <w:right w:type="dxa" w:w="140"/>
            </w:tcMar>
          </w:tcPr>
          <w:p>
            <w:pPr>
              <w:spacing w:after="0"/>
            </w:pPr>
            <w:r>
              <w:rPr>
                <w:rFonts w:ascii="Arial" w:cs="Arial" w:eastAsia="Arial" w:hAnsi="Arial"/>
                <w:sz w:val="22"/>
                <w:szCs w:val="22"/>
              </w:rPr>
              <w:t xml:space="preserve">Self-hosted VPS. Docker containerization. Supabase PostgreSQL. DeepSeek self-hosted. Nginx + Flask API. WireGuard cross-border node VPN. SHA3-256 three-chain ledger.</w:t>
            </w:r>
          </w:p>
        </w:tc>
      </w:tr>
    </w:tbl>
    <w:p>
      <w:pPr>
        <w:spacing w:after="18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F7F6F" w:sz="8"/>
              <w:left w:val="single" w:color="2F7F6F" w:sz="8"/>
              <w:bottom w:val="single" w:color="2F7F6F" w:sz="8"/>
              <w:right w:val="single" w:color="2F7F6F" w:sz="8"/>
            </w:tcBorders>
            <w:shd w:fill="E5F4F1" w:val="clear"/>
            <w:tcMar>
              <w:top w:type="dxa" w:w="160"/>
              <w:left w:type="dxa" w:w="240"/>
              <w:bottom w:type="dxa" w:w="160"/>
              <w:right w:type="dxa" w:w="240"/>
            </w:tcMar>
          </w:tcPr>
          <w:p>
            <w:pPr>
              <w:spacing w:after="120"/>
            </w:pPr>
            <w:r>
              <w:rPr>
                <w:rFonts w:ascii="Arial" w:cs="Arial" w:eastAsia="Arial" w:hAnsi="Arial"/>
                <w:b/>
                <w:bCs/>
                <w:color w:val="0B1C2D"/>
                <w:sz w:val="22"/>
                <w:szCs w:val="22"/>
              </w:rPr>
              <w:t xml:space="preserve">Shared Building Blocks Across Portfolio</w:t>
            </w:r>
          </w:p>
          <w:p>
            <w:pPr>
              <w:spacing w:after="90"/>
            </w:pPr>
            <w:r>
              <w:rPr>
                <w:rFonts w:ascii="Arial" w:cs="Arial" w:eastAsia="Arial" w:hAnsi="Arial"/>
                <w:sz w:val="22"/>
                <w:szCs w:val="22"/>
              </w:rPr>
              <w:t xml:space="preserve">Immutable Ledger: The three-chain SHA3-256 architecture is deployed identically in Medical AI (clinical records) and Power Currency (energy metering records). One codebase, two segment deployments.</w:t>
            </w:r>
          </w:p>
          <w:p>
            <w:pPr>
              <w:spacing w:after="90"/>
            </w:pPr>
            <w:r>
              <w:rPr>
                <w:rFonts w:ascii="Arial" w:cs="Arial" w:eastAsia="Arial" w:hAnsi="Arial"/>
                <w:sz w:val="22"/>
                <w:szCs w:val="22"/>
              </w:rPr>
              <w:t xml:space="preserve">NDA Portal: The NDA-gated /solution/ portal pattern is shared across all seven ventures. One deployment framework, seven branded instances.</w:t>
            </w:r>
          </w:p>
          <w:p>
            <w:pPr>
              <w:spacing w:after="90"/>
            </w:pPr>
            <w:r>
              <w:rPr>
                <w:rFonts w:ascii="Arial" w:cs="Arial" w:eastAsia="Arial" w:hAnsi="Arial"/>
                <w:sz w:val="22"/>
                <w:szCs w:val="22"/>
              </w:rPr>
              <w:t xml:space="preserve">n8n Workflow Engine: Clinical event triggers in Medical AI use the same n8n infrastructure as energy metering event routing in Power Currency.</w:t>
            </w:r>
          </w:p>
          <w:p>
            <w:pPr>
              <w:spacing w:after="90"/>
            </w:pPr>
            <w:r>
              <w:rPr>
                <w:rFonts w:ascii="Arial" w:cs="Arial" w:eastAsia="Arial" w:hAnsi="Arial"/>
                <w:sz w:val="22"/>
                <w:szCs w:val="22"/>
              </w:rPr>
              <w:t xml:space="preserve">Supabase PostgreSQL: PHI data store in Medical AI and metering data store in Power Currency use the same database platform with separate instances.</w:t>
            </w:r>
          </w:p>
        </w:tc>
      </w:tr>
    </w:tbl>
    <w:p>
      <w:pPr>
        <w:spacing w:after="0"/>
      </w:pPr>
      <w:r>
        <w:br w:type="page"/>
      </w:r>
    </w:p>
    <w:p>
      <w:pPr>
        <w:pStyle w:val="Heading1"/>
        <w:pBdr>
          <w:bottom w:val="single" w:color="C9A24D" w:sz="12" w:space="2"/>
        </w:pBdr>
        <w:spacing w:after="240" w:before="480"/>
      </w:pPr>
      <w:r>
        <w:rPr>
          <w:rFonts w:ascii="Arial" w:cs="Arial" w:eastAsia="Arial" w:hAnsi="Arial"/>
          <w:b/>
          <w:bCs/>
          <w:color w:val="0B1C2D"/>
          <w:sz w:val="40"/>
          <w:szCs w:val="40"/>
        </w:rPr>
        <w:t xml:space="preserve">12.  Immediate Next Steps</w:t>
      </w:r>
    </w:p>
    <w:p>
      <w:pPr>
        <w:pStyle w:val="Heading2"/>
        <w:spacing w:after="160" w:before="360"/>
      </w:pPr>
      <w:r>
        <w:rPr>
          <w:rFonts w:ascii="Arial" w:cs="Arial" w:eastAsia="Arial" w:hAnsi="Arial"/>
          <w:b/>
          <w:bCs/>
          <w:color w:val="0B1C2D"/>
          <w:sz w:val="28"/>
          <w:szCs w:val="28"/>
        </w:rPr>
        <w:t xml:space="preserve">Phase 1 — Pilot (0-90 days)</w:t>
      </w:r>
    </w:p>
    <w:p>
      <w:pPr>
        <w:pStyle w:val="ListParagraph"/>
        <w:numPr>
          <w:ilvl w:val="0"/>
          <w:numId w:val="2"/>
        </w:numPr>
        <w:spacing w:after="100"/>
      </w:pPr>
      <w:r>
        <w:rPr>
          <w:rFonts w:ascii="Arial" w:cs="Arial" w:eastAsia="Arial" w:hAnsi="Arial"/>
          <w:sz w:val="22"/>
          <w:szCs w:val="22"/>
        </w:rPr>
        <w:t xml:space="preserve">Identify 5-10 pilot cases: Chinese patients who have attempted cross-border specialist consultation and been rejected due to record format</w:t>
      </w:r>
    </w:p>
    <w:p>
      <w:pPr>
        <w:pStyle w:val="ListParagraph"/>
        <w:numPr>
          <w:ilvl w:val="0"/>
          <w:numId w:val="2"/>
        </w:numPr>
        <w:spacing w:after="100"/>
      </w:pPr>
      <w:r>
        <w:rPr>
          <w:rFonts w:ascii="Arial" w:cs="Arial" w:eastAsia="Arial" w:hAnsi="Arial"/>
          <w:sz w:val="22"/>
          <w:szCs w:val="22"/>
        </w:rPr>
        <w:t xml:space="preserve">Deploy extraction engine for Chinese-language lab reports and imaging reports — highest-frequency rejection cause</w:t>
      </w:r>
    </w:p>
    <w:p>
      <w:pPr>
        <w:pStyle w:val="ListParagraph"/>
        <w:numPr>
          <w:ilvl w:val="0"/>
          <w:numId w:val="2"/>
        </w:numPr>
        <w:spacing w:after="100"/>
      </w:pPr>
      <w:r>
        <w:rPr>
          <w:rFonts w:ascii="Arial" w:cs="Arial" w:eastAsia="Arial" w:hAnsi="Arial"/>
          <w:sz w:val="22"/>
          <w:szCs w:val="22"/>
        </w:rPr>
        <w:t xml:space="preserve">Configure DeepSeek for Chinese clinical synthesis with Western specialist output formatting</w:t>
      </w:r>
    </w:p>
    <w:p>
      <w:pPr>
        <w:pStyle w:val="ListParagraph"/>
        <w:numPr>
          <w:ilvl w:val="0"/>
          <w:numId w:val="2"/>
        </w:numPr>
        <w:spacing w:after="100"/>
      </w:pPr>
      <w:r>
        <w:rPr>
          <w:rFonts w:ascii="Arial" w:cs="Arial" w:eastAsia="Arial" w:hAnsi="Arial"/>
          <w:sz w:val="22"/>
          <w:szCs w:val="22"/>
        </w:rPr>
        <w:t xml:space="preserve">Build TCM record ingestion adapter for Ping An Good Doctor and WeChat Health exports</w:t>
      </w:r>
    </w:p>
    <w:p>
      <w:pPr>
        <w:pStyle w:val="ListParagraph"/>
        <w:numPr>
          <w:ilvl w:val="0"/>
          <w:numId w:val="2"/>
        </w:numPr>
        <w:spacing w:after="100"/>
      </w:pPr>
      <w:r>
        <w:rPr>
          <w:rFonts w:ascii="Arial" w:cs="Arial" w:eastAsia="Arial" w:hAnsi="Arial"/>
          <w:sz w:val="22"/>
          <w:szCs w:val="22"/>
        </w:rPr>
        <w:t xml:space="preserve">Produce first pilot synthesis packages for review by US specialist contacts</w:t>
      </w:r>
    </w:p>
    <w:p>
      <w:pPr>
        <w:pStyle w:val="ListParagraph"/>
        <w:numPr>
          <w:ilvl w:val="0"/>
          <w:numId w:val="2"/>
        </w:numPr>
        <w:spacing w:after="100"/>
      </w:pPr>
      <w:r>
        <w:rPr>
          <w:rFonts w:ascii="Arial" w:cs="Arial" w:eastAsia="Arial" w:hAnsi="Arial"/>
          <w:sz w:val="22"/>
          <w:szCs w:val="22"/>
        </w:rPr>
        <w:t xml:space="preserve">Deploy /solution/ portal at uschina.us with NDA gate for partner and investor access</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Phase 2 — Market Entry (90-180 days)</w:t>
      </w:r>
    </w:p>
    <w:p>
      <w:pPr>
        <w:pStyle w:val="ListParagraph"/>
        <w:numPr>
          <w:ilvl w:val="0"/>
          <w:numId w:val="2"/>
        </w:numPr>
        <w:spacing w:after="100"/>
      </w:pPr>
      <w:r>
        <w:rPr>
          <w:rFonts w:ascii="Arial" w:cs="Arial" w:eastAsia="Arial" w:hAnsi="Arial"/>
          <w:sz w:val="22"/>
          <w:szCs w:val="22"/>
        </w:rPr>
        <w:t xml:space="preserve">Approach 3-5 multinational corporations with Chinese employee bases for corporate health subscription pilot</w:t>
      </w:r>
    </w:p>
    <w:p>
      <w:pPr>
        <w:pStyle w:val="ListParagraph"/>
        <w:numPr>
          <w:ilvl w:val="0"/>
          <w:numId w:val="2"/>
        </w:numPr>
        <w:spacing w:after="100"/>
      </w:pPr>
      <w:r>
        <w:rPr>
          <w:rFonts w:ascii="Arial" w:cs="Arial" w:eastAsia="Arial" w:hAnsi="Arial"/>
          <w:sz w:val="22"/>
          <w:szCs w:val="22"/>
        </w:rPr>
        <w:t xml:space="preserve">Establish referral relationship with one JCI-accredited hospital in Shanghai or Beijing</w:t>
      </w:r>
    </w:p>
    <w:p>
      <w:pPr>
        <w:pStyle w:val="ListParagraph"/>
        <w:numPr>
          <w:ilvl w:val="0"/>
          <w:numId w:val="2"/>
        </w:numPr>
        <w:spacing w:after="100"/>
      </w:pPr>
      <w:r>
        <w:rPr>
          <w:rFonts w:ascii="Arial" w:cs="Arial" w:eastAsia="Arial" w:hAnsi="Arial"/>
          <w:sz w:val="22"/>
          <w:szCs w:val="22"/>
        </w:rPr>
        <w:t xml:space="preserve">Build white-label proposal for one US academic medical center with active Chinese patient intake program</w:t>
      </w:r>
    </w:p>
    <w:p>
      <w:pPr>
        <w:pStyle w:val="ListParagraph"/>
        <w:numPr>
          <w:ilvl w:val="0"/>
          <w:numId w:val="2"/>
        </w:numPr>
        <w:spacing w:after="100"/>
      </w:pPr>
      <w:r>
        <w:rPr>
          <w:rFonts w:ascii="Arial" w:cs="Arial" w:eastAsia="Arial" w:hAnsi="Arial"/>
          <w:sz w:val="22"/>
          <w:szCs w:val="22"/>
        </w:rPr>
        <w:t xml:space="preserve">Engage medical tourism facilitator agency as distribution partner</w:t>
      </w:r>
    </w:p>
    <w:p>
      <w:pPr>
        <w:pStyle w:val="ListParagraph"/>
        <w:numPr>
          <w:ilvl w:val="0"/>
          <w:numId w:val="2"/>
        </w:numPr>
        <w:spacing w:after="100"/>
      </w:pPr>
      <w:r>
        <w:rPr>
          <w:rFonts w:ascii="Arial" w:cs="Arial" w:eastAsia="Arial" w:hAnsi="Arial"/>
          <w:sz w:val="22"/>
          <w:szCs w:val="22"/>
        </w:rPr>
        <w:t xml:space="preserve">File for any required business licenses for cross-border health data services in China</w:t>
      </w:r>
    </w:p>
    <w:p>
      <w:pPr>
        <w:spacing w:after="180"/>
      </w:pPr>
      <w:r>
        <w:rPr>
          <w:rFonts w:ascii="Arial" w:cs="Arial" w:eastAsia="Arial" w:hAnsi="Arial"/>
          <w:sz w:val="22"/>
          <w:szCs w:val="22"/>
        </w:rPr>
        <w:t xml:space="preserve"/>
      </w:r>
    </w:p>
    <w:p>
      <w:pPr>
        <w:pStyle w:val="Heading2"/>
        <w:spacing w:after="160" w:before="360"/>
      </w:pPr>
      <w:r>
        <w:rPr>
          <w:rFonts w:ascii="Arial" w:cs="Arial" w:eastAsia="Arial" w:hAnsi="Arial"/>
          <w:b/>
          <w:bCs/>
          <w:color w:val="0B1C2D"/>
          <w:sz w:val="28"/>
          <w:szCs w:val="28"/>
        </w:rPr>
        <w:t xml:space="preserve">Phase 3 — Scale (180-365 days)</w:t>
      </w:r>
    </w:p>
    <w:p>
      <w:pPr>
        <w:pStyle w:val="ListParagraph"/>
        <w:numPr>
          <w:ilvl w:val="0"/>
          <w:numId w:val="2"/>
        </w:numPr>
        <w:spacing w:after="100"/>
      </w:pPr>
      <w:r>
        <w:rPr>
          <w:rFonts w:ascii="Arial" w:cs="Arial" w:eastAsia="Arial" w:hAnsi="Arial"/>
          <w:sz w:val="22"/>
          <w:szCs w:val="22"/>
        </w:rPr>
        <w:t xml:space="preserve">Launch Hong Kong operations hub as bridge between mainland PIPL environment and international data flow</w:t>
      </w:r>
    </w:p>
    <w:p>
      <w:pPr>
        <w:pStyle w:val="ListParagraph"/>
        <w:numPr>
          <w:ilvl w:val="0"/>
          <w:numId w:val="2"/>
        </w:numPr>
        <w:spacing w:after="100"/>
      </w:pPr>
      <w:r>
        <w:rPr>
          <w:rFonts w:ascii="Arial" w:cs="Arial" w:eastAsia="Arial" w:hAnsi="Arial"/>
          <w:sz w:val="22"/>
          <w:szCs w:val="22"/>
        </w:rPr>
        <w:t xml:space="preserve">Open corporate health subscription sales to Fortune 500 companies with Chinese operations</w:t>
      </w:r>
    </w:p>
    <w:p>
      <w:pPr>
        <w:pStyle w:val="ListParagraph"/>
        <w:numPr>
          <w:ilvl w:val="0"/>
          <w:numId w:val="2"/>
        </w:numPr>
        <w:spacing w:after="100"/>
      </w:pPr>
      <w:r>
        <w:rPr>
          <w:rFonts w:ascii="Arial" w:cs="Arial" w:eastAsia="Arial" w:hAnsi="Arial"/>
          <w:sz w:val="22"/>
          <w:szCs w:val="22"/>
        </w:rPr>
        <w:t xml:space="preserve">Build FHIR R4 direct integration with one US EHR system for receiving institution automated intake</w:t>
      </w:r>
    </w:p>
    <w:p>
      <w:pPr>
        <w:pStyle w:val="ListParagraph"/>
        <w:numPr>
          <w:ilvl w:val="0"/>
          <w:numId w:val="2"/>
        </w:numPr>
        <w:spacing w:after="100"/>
      </w:pPr>
      <w:r>
        <w:rPr>
          <w:rFonts w:ascii="Arial" w:cs="Arial" w:eastAsia="Arial" w:hAnsi="Arial"/>
          <w:sz w:val="22"/>
          <w:szCs w:val="22"/>
        </w:rPr>
        <w:t xml:space="preserve">Launch annual longevity subscription product for individual Chinese high-net-worth patients</w:t>
      </w:r>
    </w:p>
    <w:p>
      <w:pPr>
        <w:pStyle w:val="ListParagraph"/>
        <w:numPr>
          <w:ilvl w:val="0"/>
          <w:numId w:val="2"/>
        </w:numPr>
        <w:spacing w:after="100"/>
      </w:pPr>
      <w:r>
        <w:rPr>
          <w:rFonts w:ascii="Arial" w:cs="Arial" w:eastAsia="Arial" w:hAnsi="Arial"/>
          <w:sz w:val="22"/>
          <w:szCs w:val="22"/>
        </w:rPr>
        <w:t xml:space="preserve">Begin IRB application for de-identified TCM + Western research data product</w:t>
      </w:r>
    </w:p>
    <w:p>
      <w:pPr>
        <w:spacing w:after="36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8"/>
              <w:left w:val="single" w:color="CCCCCC" w:sz="8"/>
              <w:bottom w:val="single" w:color="CCCCCC" w:sz="8"/>
              <w:right w:val="single" w:color="CCCCCC" w:sz="8"/>
            </w:tcBorders>
            <w:shd w:fill="F6F4EF" w:val="clear"/>
            <w:tcMar>
              <w:top w:type="dxa" w:w="160"/>
              <w:left w:type="dxa" w:w="240"/>
              <w:bottom w:type="dxa" w:w="160"/>
              <w:right w:type="dxa" w:w="240"/>
            </w:tcMar>
          </w:tcPr>
          <w:p>
            <w:pPr>
              <w:spacing w:after="120"/>
            </w:pPr>
            <w:r>
              <w:rPr>
                <w:rFonts w:ascii="Arial" w:cs="Arial" w:eastAsia="Arial" w:hAnsi="Arial"/>
                <w:b/>
                <w:bCs/>
                <w:color w:val="0B1C2D"/>
                <w:sz w:val="22"/>
                <w:szCs w:val="22"/>
              </w:rPr>
              <w:t xml:space="preserve">Access and Contact</w:t>
            </w:r>
          </w:p>
          <w:p>
            <w:pPr>
              <w:spacing w:after="90"/>
            </w:pPr>
            <w:r>
              <w:rPr>
                <w:rFonts w:ascii="Arial" w:cs="Arial" w:eastAsia="Arial" w:hAnsi="Arial"/>
                <w:sz w:val="22"/>
                <w:szCs w:val="22"/>
              </w:rPr>
              <w:t xml:space="preserve">This document is confidential. Access is controlled via NDA at uschina.us/solution/</w:t>
            </w:r>
          </w:p>
          <w:p>
            <w:pPr>
              <w:spacing w:after="90"/>
            </w:pPr>
            <w:r>
              <w:rPr>
                <w:rFonts w:ascii="Arial" w:cs="Arial" w:eastAsia="Arial" w:hAnsi="Arial"/>
                <w:sz w:val="22"/>
                <w:szCs w:val="22"/>
              </w:rPr>
              <w:t xml:space="preserve">Partnership and licensing inquiries: through the uschina.us portal after NDA execution.</w:t>
            </w:r>
          </w:p>
          <w:p>
            <w:pPr>
              <w:spacing w:after="90"/>
            </w:pPr>
            <w:r>
              <w:rPr>
                <w:rFonts w:ascii="Arial" w:cs="Arial" w:eastAsia="Arial" w:hAnsi="Arial"/>
                <w:sz w:val="22"/>
                <w:szCs w:val="22"/>
              </w:rPr>
              <w:t xml:space="preserve">Enterprise architecture: James Rogers | Rogers Strategy &amp; IT Consulting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0"/>
    </w:pPr>
    <w:r>
      <w:rPr>
        <w:rFonts w:ascii="Arial" w:cs="Arial" w:eastAsia="Arial" w:hAnsi="Arial"/>
        <w:color w:val="444444"/>
        <w:sz w:val="16"/>
        <w:szCs w:val="16"/>
      </w:rPr>
      <w:t xml:space="preserve">James Rogers  |  Enterprise Architect  |  uschina.us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4D" w:sz="6" w:space="1"/>
      </w:pBdr>
      <w:spacing w:after="0"/>
    </w:pPr>
    <w:r>
      <w:rPr>
        <w:rFonts w:ascii="Arial" w:cs="Arial" w:eastAsia="Arial" w:hAnsi="Arial"/>
        <w:b/>
        <w:bCs/>
        <w:color w:val="0B1C2D"/>
        <w:sz w:val="16"/>
        <w:szCs w:val="16"/>
      </w:rPr>
      <w:t xml:space="preserve">MEDICAL AI · US-CHINA HEALTHCARE BRIDGE  </w:t>
    </w:r>
    <w:r>
      <w:rPr>
        <w:rFonts w:ascii="Arial" w:cs="Arial" w:eastAsia="Arial" w:hAnsi="Arial"/>
        <w:color w:val="444444"/>
        <w:sz w:val="16"/>
        <w:szCs w:val="16"/>
      </w:rPr>
      <w:t xml:space="preserve">·  CONFIDENTIAL  ·  Enterprise Architecture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B1C2D"/>
      <w:sz w:val="40"/>
      <w:szCs w:val="40"/>
    </w:rPr>
  </w:style>
  <w:style w:type="paragraph" w:styleId="Heading2">
    <w:name w:val="Heading 2"/>
    <w:basedOn w:val="Normal"/>
    <w:next w:val="Normal"/>
    <w:qFormat/>
    <w:pPr>
      <w:spacing w:after="160" w:before="360"/>
      <w:outlineLvl w:val="1"/>
    </w:pPr>
    <w:rPr>
      <w:rFonts w:ascii="Arial" w:cs="Arial" w:eastAsia="Arial" w:hAnsi="Arial"/>
      <w:b/>
      <w:bCs/>
      <w:color w:val="0B1C2D"/>
      <w:sz w:val="28"/>
      <w:szCs w:val="28"/>
    </w:rPr>
  </w:style>
  <w:style w:type="paragraph" w:styleId="Heading3">
    <w:name w:val="Heading 3"/>
    <w:basedOn w:val="Normal"/>
    <w:next w:val="Normal"/>
    <w:qFormat/>
    <w:pPr>
      <w:spacing w:after="120" w:before="26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2026-04-24T20:54:50.517Z</dcterms:created>
  <dcterms:modified xsi:type="dcterms:W3CDTF">2026-04-24T20:54:50.518Z</dcterms:modified>
</cp:coreProperties>
</file>

<file path=docProps/custom.xml><?xml version="1.0" encoding="utf-8"?>
<Properties xmlns="http://schemas.openxmlformats.org/officeDocument/2006/custom-properties" xmlns:vt="http://schemas.openxmlformats.org/officeDocument/2006/docPropsVTypes"/>
</file>